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October 23,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“The Gift,” 4</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Read and annotate the rest of p. 61 (up to “his other kidney”). There will likely be a reading quiz on this section, as well as p.59-61 on Monday.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Then, write out Zell’s ratios and present the argument that he makes that results in the conclusion, “you should one of your kidneys.” This writing may take the form of bullet points, if you wish. The goal is to think very carefully and walk through his thinking from start to finish. Try to present his argument fairly (removing as much of your own bias as possible).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ab/>
        <w:t xml:space="preserve">Finally, agree or disagree with Zell’s argument. This writing may be a paragraph or bullet points. If you disagree with him, you must explain which part of his argument you disagree with and why. If you agree with him, note the parts of his argument that you believe are most convincing and respond to an imagined person who disagrees with Zell.</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kravinsky, 4.docx</dc:title>
</cp:coreProperties>
</file>